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72BD" w:rsidRDefault="00836635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Kardoskút Község Önkormányzata Képviselő-testületének 6/2023. (V. 2.) önkormányzati rendelete</w:t>
      </w:r>
    </w:p>
    <w:p w:rsidR="00FF72BD" w:rsidRDefault="00836635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közterületek elnevezéséről és a házszámozás szabályairól szóló 18/2014. (VIII. 28.) önkormányzati rendelet módosításáról</w:t>
      </w:r>
    </w:p>
    <w:p w:rsidR="00FF72BD" w:rsidRDefault="00836635">
      <w:pPr>
        <w:pStyle w:val="Szvegtrzs"/>
        <w:spacing w:before="220" w:after="0" w:line="240" w:lineRule="auto"/>
        <w:jc w:val="both"/>
      </w:pPr>
      <w:r>
        <w:t xml:space="preserve">Kardoskút Község Önkormányzatának Képviselő-testülete a Magyarország helyi önkormányzatairól szóló 2011. évi CLXXXIX. törvény 143. § (3) bekezdésében kapott felhatalmazás alapján, az Alaptörvény 32. cikk (1) bekezdés </w:t>
      </w:r>
      <w:r>
        <w:rPr>
          <w:i/>
          <w:iCs/>
        </w:rPr>
        <w:t>a)</w:t>
      </w:r>
      <w:r>
        <w:t xml:space="preserve"> pontjában, a Magyarország helyi önko</w:t>
      </w:r>
      <w:r>
        <w:t>rmányzatairól szóló 2011. évi CLXXXIX. törvény 13. § (1) bekezdés 3. pontjában és 51. § (5) bekezdésében meghatározott feladatkörében eljárva a következőket rendeli el:</w:t>
      </w:r>
    </w:p>
    <w:p w:rsidR="00FF72BD" w:rsidRDefault="0083663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FF72BD" w:rsidRDefault="00836635">
      <w:pPr>
        <w:pStyle w:val="Szvegtrzs"/>
        <w:spacing w:after="0" w:line="240" w:lineRule="auto"/>
        <w:jc w:val="both"/>
      </w:pPr>
      <w:r>
        <w:t>A közterületek elnevezéséről és a házszámozás szabályairól szóló 18/2014. (VIII. 2</w:t>
      </w:r>
      <w:r>
        <w:t>8.) önkormányzati rendelet bevezető része helyébe a következő rendelkezés lép:</w:t>
      </w:r>
    </w:p>
    <w:p w:rsidR="00FF72BD" w:rsidRDefault="00836635">
      <w:pPr>
        <w:pStyle w:val="Szvegtrzs"/>
        <w:spacing w:before="240" w:after="240" w:line="240" w:lineRule="auto"/>
        <w:jc w:val="both"/>
      </w:pPr>
      <w:r>
        <w:t>„Kardoskút Község Önkormányzatának Képviselő-testülete a Magyarország helyi önkormányzatairól szóló 2011. évi CLXXXIX. törvény 143. § (3) bekezdésében kapott felhatalmazás alapj</w:t>
      </w:r>
      <w:r>
        <w:t xml:space="preserve">án, az Alaptörvény 32. cikk (1) bekezdés </w:t>
      </w:r>
      <w:r>
        <w:rPr>
          <w:i/>
          <w:iCs/>
        </w:rPr>
        <w:t>a)</w:t>
      </w:r>
      <w:r>
        <w:t xml:space="preserve"> pontjában, a Magyarország helyi önkormányzatairól szóló 2011. évi CLXXXIX. törvény 13. § (1) bekezdés 3. pontjában és 51. § (5) bekezdésében meghatározott feladatkörében eljárva a következőket rendeli el:”</w:t>
      </w:r>
    </w:p>
    <w:p w:rsidR="00FF72BD" w:rsidRDefault="0083663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FF72BD" w:rsidRDefault="00836635">
      <w:pPr>
        <w:pStyle w:val="Szvegtrzs"/>
        <w:spacing w:after="0" w:line="240" w:lineRule="auto"/>
        <w:jc w:val="both"/>
      </w:pPr>
      <w:r>
        <w:t>A</w:t>
      </w:r>
      <w:r>
        <w:t xml:space="preserve"> közterületek elnevezéséről és a házszámozás szabályairól szóló 18/2014. (VIII. 28.) önkormányzati rendelet 9. § (2) bekezdése helyébe a következő rendelkezés lép:</w:t>
      </w:r>
    </w:p>
    <w:p w:rsidR="00FF72BD" w:rsidRDefault="00836635">
      <w:pPr>
        <w:pStyle w:val="Szvegtrzs"/>
        <w:spacing w:before="240" w:after="240" w:line="240" w:lineRule="auto"/>
        <w:jc w:val="both"/>
      </w:pPr>
      <w:r>
        <w:t>„(2) Az utca-névtábla kihelyezése, karbantartása és pótlása az önkormányzat feladata, kivéve</w:t>
      </w:r>
      <w:r>
        <w:t xml:space="preserve"> a magánutak esetén, ahol az utca-névtábla elhelyezésének költsége a kérelmező(</w:t>
      </w:r>
      <w:proofErr w:type="spellStart"/>
      <w:r>
        <w:t>ke</w:t>
      </w:r>
      <w:proofErr w:type="spellEnd"/>
      <w:r>
        <w:t>)t terhelik.”</w:t>
      </w:r>
    </w:p>
    <w:p w:rsidR="00FF72BD" w:rsidRDefault="0083663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FF72BD" w:rsidRDefault="00836635">
      <w:pPr>
        <w:pStyle w:val="Szvegtrzs"/>
        <w:spacing w:after="0" w:line="240" w:lineRule="auto"/>
        <w:jc w:val="both"/>
      </w:pPr>
      <w:r>
        <w:t>Hatályát veszti a közterületek elnevezéséről és a házszámozás szabályairól szóló 18/2014. (VIII. 28.) önkormányzati rendelet 3. § (1) bekezdése.</w:t>
      </w:r>
    </w:p>
    <w:p w:rsidR="00FF72BD" w:rsidRDefault="0083663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FF72BD" w:rsidRDefault="00836635">
      <w:pPr>
        <w:pStyle w:val="Szvegtrzs"/>
        <w:spacing w:after="0" w:line="240" w:lineRule="auto"/>
        <w:jc w:val="both"/>
        <w:sectPr w:rsidR="00FF72BD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Ez a rendelet 2023. május 3-án lép hatályba.</w:t>
      </w:r>
    </w:p>
    <w:p w:rsidR="00FF72BD" w:rsidRDefault="00FF72BD">
      <w:pPr>
        <w:pStyle w:val="Szvegtrzs"/>
        <w:spacing w:after="0"/>
        <w:jc w:val="center"/>
      </w:pPr>
    </w:p>
    <w:p w:rsidR="00FF72BD" w:rsidRDefault="00836635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FF72BD" w:rsidRDefault="00836635">
      <w:pPr>
        <w:pStyle w:val="Szvegtrzs"/>
        <w:spacing w:after="200" w:line="240" w:lineRule="auto"/>
        <w:jc w:val="both"/>
      </w:pPr>
      <w:r>
        <w:t xml:space="preserve">A jogszabályszerkesztésről szóló 61/2009. (XII. 14.) IRM rendelet (a továbbiakban: </w:t>
      </w:r>
      <w:proofErr w:type="spellStart"/>
      <w:r>
        <w:t>Jszr</w:t>
      </w:r>
      <w:proofErr w:type="spellEnd"/>
      <w:r>
        <w:t xml:space="preserve">.) 52. (2) bekezdés </w:t>
      </w:r>
      <w:r>
        <w:rPr>
          <w:i/>
          <w:iCs/>
        </w:rPr>
        <w:t>a)</w:t>
      </w:r>
      <w:r>
        <w:t xml:space="preserve"> és </w:t>
      </w:r>
      <w:r>
        <w:rPr>
          <w:i/>
          <w:iCs/>
        </w:rPr>
        <w:t>b)</w:t>
      </w:r>
      <w:r>
        <w:t xml:space="preserve"> pontja alapján a bevezető rész a jogszabály megalkotásához szükséges érvényességi kellékek felsorolását és a jogalkotás aktusára utaló kifej</w:t>
      </w:r>
      <w:r>
        <w:t xml:space="preserve">ezést foglalja magában. A </w:t>
      </w:r>
      <w:proofErr w:type="spellStart"/>
      <w:r>
        <w:t>Jszr</w:t>
      </w:r>
      <w:proofErr w:type="spellEnd"/>
      <w:r>
        <w:t xml:space="preserve">. hivatkozott alcíme pontosan, kötelező jelleggel meghatározza a bevezető rész tartalmi elemeit és azok sorrendjét. A </w:t>
      </w:r>
      <w:proofErr w:type="spellStart"/>
      <w:r>
        <w:t>Jszr</w:t>
      </w:r>
      <w:proofErr w:type="spellEnd"/>
      <w:r>
        <w:t>. rendelkezései kógensek, azoktól eltérni nem lehet.</w:t>
      </w:r>
    </w:p>
    <w:p w:rsidR="00FF72BD" w:rsidRDefault="00836635">
      <w:pPr>
        <w:pStyle w:val="Szvegtrzs"/>
        <w:spacing w:after="200" w:line="240" w:lineRule="auto"/>
        <w:jc w:val="both"/>
      </w:pPr>
      <w:r>
        <w:t xml:space="preserve">Az önkormányzati rendelet (a továbbiakban: </w:t>
      </w:r>
      <w:proofErr w:type="spellStart"/>
      <w:r>
        <w:t>Ör</w:t>
      </w:r>
      <w:proofErr w:type="spellEnd"/>
      <w:r>
        <w:t>.) fel</w:t>
      </w:r>
      <w:r>
        <w:t xml:space="preserve">hatalmazáson alapul, a felhatalmazó rendelkezést a Magyarország helyi önkormányzatairól szóló 2011. évi CLXXXIX. törvény (a továbbiakban: </w:t>
      </w:r>
      <w:proofErr w:type="spellStart"/>
      <w:r>
        <w:t>Mötv</w:t>
      </w:r>
      <w:proofErr w:type="spellEnd"/>
      <w:r>
        <w:t>.) 143. § (3) bekezdése tartalmazza. A felhatalmazáson alapuló önkormányzati rendelet esetében a bevezető rész tar</w:t>
      </w:r>
      <w:r>
        <w:t xml:space="preserve">talmi követelményeit a </w:t>
      </w:r>
      <w:proofErr w:type="spellStart"/>
      <w:r>
        <w:t>Jszr</w:t>
      </w:r>
      <w:proofErr w:type="spellEnd"/>
      <w:r>
        <w:t>. 55. § (1) bekezdése és (5) bekezdése határozza meg.</w:t>
      </w:r>
    </w:p>
    <w:p w:rsidR="00FF72BD" w:rsidRDefault="00836635">
      <w:pPr>
        <w:pStyle w:val="Szvegtrzs"/>
        <w:spacing w:after="200" w:line="240" w:lineRule="auto"/>
        <w:jc w:val="both"/>
      </w:pPr>
      <w:r>
        <w:t xml:space="preserve">Az </w:t>
      </w:r>
      <w:proofErr w:type="spellStart"/>
      <w:r>
        <w:t>Ör</w:t>
      </w:r>
      <w:proofErr w:type="spellEnd"/>
      <w:r>
        <w:t>. bevezető része a fenti kritériumokkal nem volt összhangban, a tartalmi elemek sorrendje és azok szövegezése nem megfelelő, a felhatalmazó és a feladatkört megállapító r</w:t>
      </w:r>
      <w:r>
        <w:t>endelkezések megjelölése pontatlan. Ezekre tekintettel szükséges a bevezető részének módosítása.</w:t>
      </w:r>
    </w:p>
    <w:p w:rsidR="00FF72BD" w:rsidRDefault="00836635">
      <w:pPr>
        <w:pStyle w:val="Szvegtrzs"/>
        <w:spacing w:before="159" w:after="159" w:line="240" w:lineRule="auto"/>
        <w:jc w:val="both"/>
      </w:pPr>
      <w:r>
        <w:t xml:space="preserve">A közterület elnevezése, illetve a címképzés vonatkozásában az </w:t>
      </w:r>
      <w:proofErr w:type="spellStart"/>
      <w:r>
        <w:t>Mötv</w:t>
      </w:r>
      <w:proofErr w:type="spellEnd"/>
      <w:r>
        <w:t>. és a központi címregiszterről és címképzésről szóló 345/2014. (XII. 23.) Korm. rendelet (a</w:t>
      </w:r>
      <w:r>
        <w:t xml:space="preserve"> továbbiakban: KCR rendelet) egyértelműen meghatározza, hogy az önkormányzat közigazgatási területén található mely ingatlanokra terjed ki a képviselő-testület, illetve címképzés esetén a jegyző hatásköre.</w:t>
      </w:r>
    </w:p>
    <w:p w:rsidR="00FF72BD" w:rsidRDefault="00836635">
      <w:pPr>
        <w:pStyle w:val="Szvegtrzs"/>
        <w:spacing w:before="159" w:after="159" w:line="240" w:lineRule="auto"/>
        <w:jc w:val="both"/>
      </w:pPr>
      <w:r>
        <w:t xml:space="preserve">A </w:t>
      </w:r>
      <w:proofErr w:type="spellStart"/>
      <w:r>
        <w:t>Mötv</w:t>
      </w:r>
      <w:proofErr w:type="spellEnd"/>
      <w:r>
        <w:t xml:space="preserve">. 14/A. § (1) bekezdése szerint: </w:t>
      </w:r>
      <w:r>
        <w:rPr>
          <w:i/>
          <w:iCs/>
        </w:rPr>
        <w:t>„Minden bel</w:t>
      </w:r>
      <w:r>
        <w:rPr>
          <w:i/>
          <w:iCs/>
        </w:rPr>
        <w:t xml:space="preserve">területi és olyan külterületi közterületet el kell nevezni, amely olyan ingatlanhoz vezet, amelyen az épített környezet alakításáról és védelméről szóló törvény szerinti épület található.” </w:t>
      </w:r>
      <w:r>
        <w:t xml:space="preserve">A KCR rendelet 2. § (1) bekezdés </w:t>
      </w:r>
      <w:proofErr w:type="gramStart"/>
      <w:r>
        <w:rPr>
          <w:i/>
          <w:iCs/>
        </w:rPr>
        <w:t>a)-</w:t>
      </w:r>
      <w:proofErr w:type="gramEnd"/>
      <w:r>
        <w:rPr>
          <w:i/>
          <w:iCs/>
        </w:rPr>
        <w:t xml:space="preserve">f) </w:t>
      </w:r>
      <w:r>
        <w:t>pontja</w:t>
      </w:r>
      <w:r>
        <w:rPr>
          <w:i/>
          <w:iCs/>
        </w:rPr>
        <w:t xml:space="preserve"> </w:t>
      </w:r>
      <w:r>
        <w:t>pedig felsorolja azok</w:t>
      </w:r>
      <w:r>
        <w:t>at az ingatlantípusokat, amelyeket címmel kell ellátni.</w:t>
      </w:r>
    </w:p>
    <w:p w:rsidR="00FF72BD" w:rsidRDefault="00836635">
      <w:pPr>
        <w:pStyle w:val="Szvegtrzs"/>
        <w:spacing w:before="159" w:after="159" w:line="240" w:lineRule="auto"/>
        <w:jc w:val="both"/>
      </w:pPr>
      <w:r>
        <w:t xml:space="preserve">A fenti </w:t>
      </w:r>
      <w:proofErr w:type="spellStart"/>
      <w:r>
        <w:t>Mötv</w:t>
      </w:r>
      <w:proofErr w:type="spellEnd"/>
      <w:r>
        <w:t xml:space="preserve">. előíráshoz képest az </w:t>
      </w:r>
      <w:proofErr w:type="spellStart"/>
      <w:r>
        <w:t>Ör</w:t>
      </w:r>
      <w:proofErr w:type="spellEnd"/>
      <w:r>
        <w:t xml:space="preserve">. a tárgyi hatályt eltérően szabályozta, ugyanakkor önkormányzati rendelet a </w:t>
      </w:r>
      <w:proofErr w:type="spellStart"/>
      <w:proofErr w:type="gramStart"/>
      <w:r>
        <w:t>Mötv</w:t>
      </w:r>
      <w:proofErr w:type="spellEnd"/>
      <w:r>
        <w:t>.-</w:t>
      </w:r>
      <w:proofErr w:type="gramEnd"/>
      <w:r>
        <w:t>vel ellentétes rendelkezést nem állapíthat meg, tekintettel arra, hogy a törvény</w:t>
      </w:r>
      <w:r>
        <w:t xml:space="preserve"> magasabb szintű jogszabálynak minősül az Alaptörvény 32. cikk (3) bekezdése alapján. A koherens szabályozás érdekben szükséges hatályon kívül helyezni az </w:t>
      </w:r>
      <w:proofErr w:type="spellStart"/>
      <w:r>
        <w:t>Ör</w:t>
      </w:r>
      <w:proofErr w:type="spellEnd"/>
      <w:r>
        <w:t>. 3. § (1) bekezdését.</w:t>
      </w:r>
    </w:p>
    <w:p w:rsidR="00FF72BD" w:rsidRDefault="00836635">
      <w:pPr>
        <w:pStyle w:val="Szvegtrzs"/>
        <w:spacing w:before="159" w:after="159" w:line="240" w:lineRule="auto"/>
        <w:ind w:left="159" w:right="159"/>
        <w:jc w:val="both"/>
      </w:pPr>
      <w:r>
        <w:t>A </w:t>
      </w:r>
      <w:proofErr w:type="spellStart"/>
      <w:r>
        <w:t>Mötv</w:t>
      </w:r>
      <w:proofErr w:type="spellEnd"/>
      <w:r>
        <w:t xml:space="preserve">. 14/A. § (1) bekezdéséből és (6) bekezdéséből az következik, hogy az </w:t>
      </w:r>
      <w:r>
        <w:t>elnevezési kötelezettség alá eső közterületeknél (függetlenül attól, hogy az belterületi vagy külterületi ingatlan) az utcanév-tábla kihelyezése minden esetben az illetékes önkormányzat feladata, és a költségeket is az önkormányzat köteles viselni. Ez alap</w:t>
      </w:r>
      <w:r>
        <w:t xml:space="preserve">ján az </w:t>
      </w:r>
      <w:proofErr w:type="spellStart"/>
      <w:r>
        <w:t>Ör</w:t>
      </w:r>
      <w:proofErr w:type="spellEnd"/>
      <w:r>
        <w:t>. 9. § (2) bekezdés rendelkezését indokolt módosítani oly módon, hogy a kivételi szabály ne vonatkozzon a külterületi ingatlanokra.</w:t>
      </w:r>
    </w:p>
    <w:sectPr w:rsidR="00FF72BD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00000" w:rsidRDefault="00836635">
      <w:r>
        <w:separator/>
      </w:r>
    </w:p>
  </w:endnote>
  <w:endnote w:type="continuationSeparator" w:id="0">
    <w:p w:rsidR="00000000" w:rsidRDefault="00836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F72BD" w:rsidRDefault="00836635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F72BD" w:rsidRDefault="00836635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00000" w:rsidRDefault="00836635">
      <w:r>
        <w:separator/>
      </w:r>
    </w:p>
  </w:footnote>
  <w:footnote w:type="continuationSeparator" w:id="0">
    <w:p w:rsidR="00000000" w:rsidRDefault="008366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64120"/>
    <w:multiLevelType w:val="multilevel"/>
    <w:tmpl w:val="3794B9A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597726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2BD"/>
    <w:rsid w:val="00836635"/>
    <w:rsid w:val="00FF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F422B7-1672-4367-94FF-68E729333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572</Words>
  <Characters>3952</Characters>
  <Application>Microsoft Office Word</Application>
  <DocSecurity>0</DocSecurity>
  <Lines>32</Lines>
  <Paragraphs>9</Paragraphs>
  <ScaleCrop>false</ScaleCrop>
  <Company/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dc:description/>
  <cp:lastModifiedBy>Felhasználó</cp:lastModifiedBy>
  <cp:revision>2</cp:revision>
  <dcterms:created xsi:type="dcterms:W3CDTF">2023-04-21T10:12:00Z</dcterms:created>
  <dcterms:modified xsi:type="dcterms:W3CDTF">2023-04-21T10:12:00Z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